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附件：1</w:t>
      </w:r>
    </w:p>
    <w:tbl>
      <w:tblPr>
        <w:tblStyle w:val="3"/>
        <w:tblpPr w:leftFromText="180" w:rightFromText="180" w:vertAnchor="text" w:horzAnchor="page" w:tblpX="1537" w:tblpY="654"/>
        <w:tblOverlap w:val="never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90"/>
        <w:gridCol w:w="438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9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招聘岗位及人数</w:t>
            </w:r>
          </w:p>
        </w:tc>
        <w:tc>
          <w:tcPr>
            <w:tcW w:w="43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专   业   要   求</w:t>
            </w: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及年龄要求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经济学教研室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2名</w:t>
            </w:r>
          </w:p>
        </w:tc>
        <w:tc>
          <w:tcPr>
            <w:tcW w:w="43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经济学、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经济学专业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eastAsia="zh-CN"/>
              </w:rPr>
              <w:t>博士研究生，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年龄35周岁以下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研究生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，年龄3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   3、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副高（含副高）以上职称第一学历是全日制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auto"/>
                <w:lang w:val="en-US" w:eastAsia="zh-CN"/>
              </w:rPr>
              <w:t>本科及以上学历，年龄35周岁以下。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法学教研室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43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法学专业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马列基础理论教研室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3名</w:t>
            </w:r>
          </w:p>
        </w:tc>
        <w:tc>
          <w:tcPr>
            <w:tcW w:w="43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哲学、马克思主义理论、思想政治教育专业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中文历史科技教研室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43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中国语言文学、逻辑学、历史学专业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党史党建教研室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43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党史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党建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中共延安市委党校2017年度教师招聘计划</w:t>
      </w:r>
    </w:p>
    <w:p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备注：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对专业的审查以毕业证上记载的专业名称为准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61E35F8"/>
    <w:rsid w:val="312F5BEB"/>
    <w:rsid w:val="43241A9F"/>
    <w:rsid w:val="638A206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rsk</cp:lastModifiedBy>
  <dcterms:modified xsi:type="dcterms:W3CDTF">2017-12-19T02:38:58Z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